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Calibri" w:eastAsia="仿宋_GB2312" w:cs="宋体"/>
          <w:b/>
          <w:bCs/>
          <w:sz w:val="32"/>
          <w:szCs w:val="32"/>
        </w:rPr>
      </w:pPr>
      <w:r>
        <w:rPr>
          <w:rFonts w:hint="eastAsia" w:ascii="仿宋_GB2312" w:hAnsi="Calibri" w:eastAsia="仿宋_GB2312" w:cs="宋体"/>
          <w:b/>
          <w:bCs/>
          <w:sz w:val="32"/>
          <w:szCs w:val="32"/>
        </w:rPr>
        <w:t>附件：国家语委科研项目2024年度选题指南</w:t>
      </w:r>
    </w:p>
    <w:p>
      <w:pPr>
        <w:spacing w:line="560" w:lineRule="exact"/>
        <w:rPr>
          <w:rFonts w:hint="eastAsia" w:ascii="仿宋_GB2312" w:hAnsi="Calibri" w:eastAsia="仿宋_GB2312" w:cs="宋体"/>
          <w:b/>
          <w:bCs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一、重大项目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1.语言文字事业贯彻落实习近平文化思想的理论与实践研究2.中文大语言模型人机交互言语质量评估与提升研究（研究时间1—2年）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3.服务共建“一带一路”的语言资源建设规划研究（研究时间1—2年）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4.数智化背景下的语文教育创新发展研究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5.高校中文专业语言学教材建设研究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6.中医药典籍智能翻译与多模态传播研究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7.基于人工智能的甲骨文图像处理关键技术研究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二、重点项目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1.民族地区国家通用语言文字教育的扩优提质协调机制研究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2.通用规范汉字行楷和行书字形规范研究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3.中译外翻译标准体系建设研究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4.中资跨国企业语言能力建设与提升研究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5.教师语言规范与学生心理健康促进研究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6.新时期中国文学作品语言状况调查与研究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7.中小学语文教材知识图谱研究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8.中国特色基础教育话语体系构建研究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9.特殊人群语言文字无障碍环境建设研究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三、一般项目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1.中国优秀传统文化特色领域术语建设与传播研究（分领域申报，如中医药、武术、纺织、古陶瓷等）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2.关键领域语言文字规范标准建设新需求研究(分领域申报)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3.面向“一带一路”经贸合作的紧缺语言资源建设研究（分语种申报，建议申请单位联合开展“一带一路”经贸合作的企业申报，以实际需求为导向，共同建设语言资源，不限于翻译字词典、语料资源、教学课程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4.语言文字服务新质生产力发展的理论阐释与实践路径研究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5.儿童读物语言文字使用状况与质量提升研究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6.生成式人工智能发展背景下网络空间语言治理研究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7.中小学语文教材国际比较研究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8.国际中文教育教材中语言文字规范标准应用研究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9.大语言模型在学校教育教学中的应用研究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10.语言文字与智能媒体发展研究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11.汉语语言美范畴及社会效应研究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